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2F52" w14:textId="0AA853DD" w:rsidR="00101092" w:rsidRPr="00101092" w:rsidRDefault="00101092" w:rsidP="00101092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101092">
        <w:rPr>
          <w:rFonts w:ascii="Verdana" w:eastAsia="Times New Roman" w:hAnsi="Verdana" w:cs="Times New Roman"/>
          <w:color w:val="000000"/>
          <w:sz w:val="23"/>
          <w:szCs w:val="23"/>
          <w:shd w:val="clear" w:color="auto" w:fill="E6E6E6"/>
          <w:lang w:eastAsia="fr-BE"/>
        </w:rPr>
        <w:br/>
      </w:r>
    </w:p>
    <w:p w14:paraId="2CD114E9" w14:textId="77777777" w:rsidR="00101092" w:rsidRPr="00101092" w:rsidRDefault="00101092" w:rsidP="00101092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</w:pPr>
      <w:r w:rsidRPr="00101092"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  <w:t>Matières premières : des scenarii haussiers</w:t>
      </w:r>
    </w:p>
    <w:p w14:paraId="56201B36" w14:textId="77777777" w:rsidR="00101092" w:rsidRDefault="00101092" w:rsidP="00101092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</w:pPr>
    </w:p>
    <w:p w14:paraId="0AC62B7D" w14:textId="76A5EA72" w:rsidR="00101092" w:rsidRPr="00101092" w:rsidRDefault="00101092" w:rsidP="00101092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101092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La banque d’investissement Goldman Sachs voit le cours du baril de Brent atteindre une moyenne de 80 $ au troisième trimestre, avec des envolées probables bien au-delà.</w:t>
      </w:r>
    </w:p>
    <w:p w14:paraId="6F7F1992" w14:textId="77777777" w:rsidR="00101092" w:rsidRPr="00101092" w:rsidRDefault="00101092" w:rsidP="00101092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101092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Elle estime, d’autre part, que l’or est sous-évalué au regard de ses fondamentaux réels et nominaux : le métal jaune s’inscrira dans un scenario de forte progression, ce qui sous-entend une demande limitée en tant que valeur refuge ou de couverture contre l'inflation.</w:t>
      </w:r>
    </w:p>
    <w:p w14:paraId="7A04FAF5" w14:textId="77777777" w:rsidR="00101092" w:rsidRPr="00101092" w:rsidRDefault="00101092" w:rsidP="00101092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101092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Elle prévoit également un déficit d’offre pour le cuivre cette année et en 2022. Au second semestre, le déficit en cathodes pourrait s’élever à 450.000 tonnes.</w:t>
      </w:r>
    </w:p>
    <w:p w14:paraId="2C1C9233" w14:textId="77777777" w:rsidR="00101092" w:rsidRPr="00101092" w:rsidRDefault="00101092" w:rsidP="00101092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101092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Plus largement, la banque estime que la récente contraction des cours des matières premières, consécutive à la décision de la Réserve fédérale américaine de relever ses taux directeurs en 2023, doit être envisagée comme une opportunité d’achat. «</w:t>
      </w:r>
      <w:r w:rsidRPr="00101092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  <w:t> Le scenario haussier des cours repose sur un déficit d’offre et une demande croissante. Il n’a rien à voir avec le risque d’inflation ni avec la politique monétaire de la Fed</w:t>
      </w:r>
      <w:r w:rsidRPr="00101092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 », a indiqué la banque dans une note. Toutefois, la reprise sur les marchés des matières premières, hors énergies, risque d’être plus lente que prévu </w:t>
      </w:r>
      <w:proofErr w:type="gramStart"/>
      <w:r w:rsidRPr="00101092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suite aux</w:t>
      </w:r>
      <w:proofErr w:type="gramEnd"/>
      <w:r w:rsidRPr="00101092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récentes liquidations et compte tenu des « </w:t>
      </w:r>
      <w:r w:rsidRPr="00101092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  <w:t>chocs</w:t>
      </w:r>
      <w:r w:rsidRPr="00101092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» liés aux changements climatiques et au repositionnement de la Chine, a averti Goldman.</w:t>
      </w:r>
    </w:p>
    <w:p w14:paraId="7A0AC927" w14:textId="77777777" w:rsidR="00136C66" w:rsidRDefault="00136C66"/>
    <w:sectPr w:rsidR="00136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92"/>
    <w:rsid w:val="00101092"/>
    <w:rsid w:val="0013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9995"/>
  <w15:chartTrackingRefBased/>
  <w15:docId w15:val="{1EA6596E-100C-477E-92FA-E6256774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mayers</dc:creator>
  <cp:keywords/>
  <dc:description/>
  <cp:lastModifiedBy>info mayers</cp:lastModifiedBy>
  <cp:revision>1</cp:revision>
  <dcterms:created xsi:type="dcterms:W3CDTF">2021-06-29T06:42:00Z</dcterms:created>
  <dcterms:modified xsi:type="dcterms:W3CDTF">2021-06-29T06:42:00Z</dcterms:modified>
</cp:coreProperties>
</file>